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B5" w:rsidRDefault="001B1BB5" w:rsidP="002664D0">
      <w:pPr>
        <w:ind w:right="-1"/>
        <w:jc w:val="center"/>
        <w:rPr>
          <w:rFonts w:ascii="Century Gothic" w:hAnsi="Century Gothic"/>
          <w:b/>
          <w:sz w:val="30"/>
          <w:szCs w:val="30"/>
          <w:u w:val="single"/>
        </w:rPr>
      </w:pPr>
      <w:r w:rsidRPr="001B1BB5">
        <w:rPr>
          <w:rFonts w:ascii="Century Gothic" w:hAnsi="Century Gothic"/>
          <w:b/>
          <w:sz w:val="30"/>
          <w:szCs w:val="30"/>
          <w:u w:val="single"/>
        </w:rPr>
        <w:t>TABELA DE DEMONSTRATIVO DE HIPOSSUFICIÊNCIA DO AUTOR</w:t>
      </w:r>
    </w:p>
    <w:p w:rsidR="00F6773C" w:rsidRDefault="00F6773C" w:rsidP="002664D0">
      <w:pPr>
        <w:ind w:right="-568"/>
        <w:rPr>
          <w:rFonts w:ascii="Century Gothic" w:hAnsi="Century Gothic"/>
        </w:rPr>
      </w:pPr>
      <w:r>
        <w:rPr>
          <w:rFonts w:ascii="Century Gothic" w:hAnsi="Century Gothic"/>
        </w:rPr>
        <w:t>SINDICALIZADO:</w:t>
      </w:r>
    </w:p>
    <w:p w:rsidR="002664D0" w:rsidRDefault="00F6773C" w:rsidP="002664D0">
      <w:pPr>
        <w:ind w:right="-568"/>
        <w:rPr>
          <w:rFonts w:ascii="Century Gothic" w:hAnsi="Century Gothic"/>
        </w:rPr>
      </w:pPr>
      <w:r>
        <w:rPr>
          <w:rFonts w:ascii="Century Gothic" w:hAnsi="Century Gothic"/>
        </w:rPr>
        <w:t>SALÁRIO BRUTO 2018:</w:t>
      </w:r>
      <w:r w:rsidR="002664D0">
        <w:rPr>
          <w:rFonts w:ascii="Century Gothic" w:hAnsi="Century Gothic"/>
        </w:rPr>
        <w:t xml:space="preserve">                                         SALÁRIO LÍQUIDO 2018:                </w:t>
      </w:r>
    </w:p>
    <w:p w:rsidR="002664D0" w:rsidRDefault="002664D0" w:rsidP="002664D0">
      <w:pPr>
        <w:ind w:right="-568"/>
        <w:rPr>
          <w:rFonts w:ascii="Century Gothic" w:hAnsi="Century Gothic"/>
        </w:rPr>
      </w:pPr>
      <w:r>
        <w:rPr>
          <w:rFonts w:ascii="Century Gothic" w:hAnsi="Century Gothic"/>
        </w:rPr>
        <w:t>QTD DE FÉRIAS S/ GOZO:                                   QTD DE FILHOS DEPENDENTES:</w:t>
      </w:r>
    </w:p>
    <w:p w:rsidR="00F6773C" w:rsidRDefault="00F6773C" w:rsidP="002664D0">
      <w:pPr>
        <w:ind w:right="-568"/>
        <w:rPr>
          <w:rFonts w:ascii="Century Gothic" w:hAnsi="Century Gothic"/>
        </w:rPr>
      </w:pPr>
      <w:r>
        <w:rPr>
          <w:rFonts w:ascii="Century Gothic" w:hAnsi="Century Gothic"/>
        </w:rPr>
        <w:t xml:space="preserve">QTD DE PESSOAS NA RESIDÊNCIA </w:t>
      </w:r>
      <w:r w:rsidR="002664D0">
        <w:rPr>
          <w:rFonts w:ascii="Century Gothic" w:hAnsi="Century Gothic"/>
        </w:rPr>
        <w:t>DO</w:t>
      </w:r>
      <w:r>
        <w:rPr>
          <w:rFonts w:ascii="Century Gothic" w:hAnsi="Century Gothic"/>
        </w:rPr>
        <w:t xml:space="preserve"> SINDICALIZADO:</w:t>
      </w:r>
    </w:p>
    <w:p w:rsidR="00F6773C" w:rsidRDefault="00F6773C" w:rsidP="002664D0">
      <w:pPr>
        <w:ind w:right="-568"/>
        <w:rPr>
          <w:rFonts w:ascii="Century Gothic" w:hAnsi="Century Gothic"/>
        </w:rPr>
      </w:pPr>
      <w:r>
        <w:rPr>
          <w:rFonts w:ascii="Century Gothic" w:hAnsi="Century Gothic"/>
        </w:rPr>
        <w:t xml:space="preserve">TRATAMENTO </w:t>
      </w:r>
      <w:r w:rsidR="002664D0">
        <w:rPr>
          <w:rFonts w:ascii="Century Gothic" w:hAnsi="Century Gothic"/>
        </w:rPr>
        <w:t xml:space="preserve">DE SAÚDE </w:t>
      </w:r>
      <w:r>
        <w:rPr>
          <w:rFonts w:ascii="Century Gothic" w:hAnsi="Century Gothic"/>
        </w:rPr>
        <w:t>MENSAL:</w:t>
      </w:r>
    </w:p>
    <w:p w:rsidR="00F6773C" w:rsidRDefault="00F6773C" w:rsidP="002664D0">
      <w:pPr>
        <w:ind w:right="-568"/>
        <w:rPr>
          <w:rFonts w:ascii="Century Gothic" w:hAnsi="Century Gothic"/>
        </w:rPr>
      </w:pPr>
      <w:r>
        <w:rPr>
          <w:rFonts w:ascii="Century Gothic" w:hAnsi="Century Gothic"/>
        </w:rPr>
        <w:t>QUALQUER OUTRO GAS</w:t>
      </w:r>
      <w:bookmarkStart w:id="0" w:name="_GoBack"/>
      <w:bookmarkEnd w:id="0"/>
      <w:r>
        <w:rPr>
          <w:rFonts w:ascii="Century Gothic" w:hAnsi="Century Gothic"/>
        </w:rPr>
        <w:t>TO DE RELEVÂNCIA:</w:t>
      </w:r>
    </w:p>
    <w:tbl>
      <w:tblPr>
        <w:tblStyle w:val="Tabelacomgrade"/>
        <w:tblW w:w="9180" w:type="dxa"/>
        <w:tblInd w:w="108" w:type="dxa"/>
        <w:tblLook w:val="04A0" w:firstRow="1" w:lastRow="0" w:firstColumn="1" w:lastColumn="0" w:noHBand="0" w:noVBand="1"/>
      </w:tblPr>
      <w:tblGrid>
        <w:gridCol w:w="6062"/>
        <w:gridCol w:w="3118"/>
      </w:tblGrid>
      <w:tr w:rsidR="00F6773C" w:rsidTr="002664D0">
        <w:trPr>
          <w:trHeight w:val="340"/>
        </w:trPr>
        <w:tc>
          <w:tcPr>
            <w:tcW w:w="6062" w:type="dxa"/>
            <w:vAlign w:val="center"/>
          </w:tcPr>
          <w:p w:rsidR="00F6773C" w:rsidRPr="002664D0" w:rsidRDefault="00F6773C" w:rsidP="002664D0">
            <w:pPr>
              <w:ind w:right="-568"/>
              <w:rPr>
                <w:rFonts w:ascii="Century Gothic" w:hAnsi="Century Gothic"/>
                <w:b/>
              </w:rPr>
            </w:pPr>
            <w:r w:rsidRPr="002664D0">
              <w:rPr>
                <w:rFonts w:ascii="Century Gothic" w:hAnsi="Century Gothic"/>
                <w:b/>
              </w:rPr>
              <w:t>DESPESAS MENSAIS</w:t>
            </w:r>
          </w:p>
        </w:tc>
        <w:tc>
          <w:tcPr>
            <w:tcW w:w="3118" w:type="dxa"/>
            <w:vAlign w:val="center"/>
          </w:tcPr>
          <w:p w:rsidR="00F6773C" w:rsidRPr="002664D0" w:rsidRDefault="00F6773C" w:rsidP="002664D0">
            <w:pPr>
              <w:rPr>
                <w:rFonts w:ascii="Century Gothic" w:hAnsi="Century Gothic"/>
                <w:b/>
              </w:rPr>
            </w:pPr>
            <w:r w:rsidRPr="002664D0">
              <w:rPr>
                <w:rFonts w:ascii="Century Gothic" w:hAnsi="Century Gothic"/>
                <w:b/>
              </w:rPr>
              <w:t>VALOR</w:t>
            </w:r>
          </w:p>
        </w:tc>
      </w:tr>
      <w:tr w:rsidR="00F6773C" w:rsidTr="002664D0">
        <w:trPr>
          <w:trHeight w:val="340"/>
        </w:trPr>
        <w:tc>
          <w:tcPr>
            <w:tcW w:w="6062" w:type="dxa"/>
            <w:vAlign w:val="center"/>
          </w:tcPr>
          <w:p w:rsidR="00F6773C" w:rsidRDefault="00F6773C" w:rsidP="002664D0">
            <w:pPr>
              <w:ind w:right="-568"/>
              <w:rPr>
                <w:rFonts w:ascii="Century Gothic" w:hAnsi="Century Gothic"/>
              </w:rPr>
            </w:pPr>
          </w:p>
        </w:tc>
        <w:tc>
          <w:tcPr>
            <w:tcW w:w="3118" w:type="dxa"/>
            <w:vAlign w:val="center"/>
          </w:tcPr>
          <w:p w:rsidR="00F6773C" w:rsidRDefault="00F6773C" w:rsidP="002664D0">
            <w:pPr>
              <w:ind w:right="-568"/>
              <w:rPr>
                <w:rFonts w:ascii="Century Gothic" w:hAnsi="Century Gothic"/>
              </w:rPr>
            </w:pPr>
          </w:p>
        </w:tc>
      </w:tr>
      <w:tr w:rsidR="00F6773C" w:rsidTr="002664D0">
        <w:trPr>
          <w:trHeight w:val="340"/>
        </w:trPr>
        <w:tc>
          <w:tcPr>
            <w:tcW w:w="6062" w:type="dxa"/>
            <w:vAlign w:val="center"/>
          </w:tcPr>
          <w:p w:rsidR="00F6773C" w:rsidRDefault="00F6773C" w:rsidP="002664D0">
            <w:pPr>
              <w:ind w:right="-568"/>
              <w:rPr>
                <w:rFonts w:ascii="Century Gothic" w:hAnsi="Century Gothic"/>
              </w:rPr>
            </w:pPr>
          </w:p>
        </w:tc>
        <w:tc>
          <w:tcPr>
            <w:tcW w:w="3118" w:type="dxa"/>
            <w:vAlign w:val="center"/>
          </w:tcPr>
          <w:p w:rsidR="00F6773C" w:rsidRDefault="00F6773C" w:rsidP="002664D0">
            <w:pPr>
              <w:ind w:right="-568"/>
              <w:rPr>
                <w:rFonts w:ascii="Century Gothic" w:hAnsi="Century Gothic"/>
              </w:rPr>
            </w:pPr>
          </w:p>
        </w:tc>
      </w:tr>
      <w:tr w:rsidR="00F6773C" w:rsidTr="002664D0">
        <w:trPr>
          <w:trHeight w:val="340"/>
        </w:trPr>
        <w:tc>
          <w:tcPr>
            <w:tcW w:w="6062" w:type="dxa"/>
            <w:vAlign w:val="center"/>
          </w:tcPr>
          <w:p w:rsidR="00F6773C" w:rsidRDefault="00F6773C" w:rsidP="002664D0">
            <w:pPr>
              <w:ind w:right="-568"/>
              <w:rPr>
                <w:rFonts w:ascii="Century Gothic" w:hAnsi="Century Gothic"/>
              </w:rPr>
            </w:pPr>
          </w:p>
        </w:tc>
        <w:tc>
          <w:tcPr>
            <w:tcW w:w="3118" w:type="dxa"/>
            <w:vAlign w:val="center"/>
          </w:tcPr>
          <w:p w:rsidR="00F6773C" w:rsidRDefault="00F6773C" w:rsidP="002664D0">
            <w:pPr>
              <w:ind w:right="-568"/>
              <w:rPr>
                <w:rFonts w:ascii="Century Gothic" w:hAnsi="Century Gothic"/>
              </w:rPr>
            </w:pPr>
          </w:p>
        </w:tc>
      </w:tr>
      <w:tr w:rsidR="00F6773C" w:rsidTr="002664D0">
        <w:trPr>
          <w:trHeight w:val="340"/>
        </w:trPr>
        <w:tc>
          <w:tcPr>
            <w:tcW w:w="6062" w:type="dxa"/>
            <w:vAlign w:val="center"/>
          </w:tcPr>
          <w:p w:rsidR="00F6773C" w:rsidRDefault="00F6773C" w:rsidP="002664D0">
            <w:pPr>
              <w:ind w:right="-568"/>
              <w:rPr>
                <w:rFonts w:ascii="Century Gothic" w:hAnsi="Century Gothic"/>
              </w:rPr>
            </w:pPr>
          </w:p>
        </w:tc>
        <w:tc>
          <w:tcPr>
            <w:tcW w:w="3118" w:type="dxa"/>
            <w:vAlign w:val="center"/>
          </w:tcPr>
          <w:p w:rsidR="00F6773C" w:rsidRDefault="00F6773C" w:rsidP="002664D0">
            <w:pPr>
              <w:ind w:right="-568"/>
              <w:rPr>
                <w:rFonts w:ascii="Century Gothic" w:hAnsi="Century Gothic"/>
              </w:rPr>
            </w:pPr>
          </w:p>
        </w:tc>
      </w:tr>
      <w:tr w:rsidR="00F6773C" w:rsidTr="002664D0">
        <w:trPr>
          <w:trHeight w:val="340"/>
        </w:trPr>
        <w:tc>
          <w:tcPr>
            <w:tcW w:w="6062" w:type="dxa"/>
            <w:vAlign w:val="center"/>
          </w:tcPr>
          <w:p w:rsidR="00F6773C" w:rsidRDefault="00F6773C" w:rsidP="002664D0">
            <w:pPr>
              <w:ind w:right="-568"/>
              <w:rPr>
                <w:rFonts w:ascii="Century Gothic" w:hAnsi="Century Gothic"/>
              </w:rPr>
            </w:pPr>
          </w:p>
        </w:tc>
        <w:tc>
          <w:tcPr>
            <w:tcW w:w="3118" w:type="dxa"/>
            <w:vAlign w:val="center"/>
          </w:tcPr>
          <w:p w:rsidR="00F6773C" w:rsidRDefault="00F6773C" w:rsidP="002664D0">
            <w:pPr>
              <w:ind w:right="-568"/>
              <w:rPr>
                <w:rFonts w:ascii="Century Gothic" w:hAnsi="Century Gothic"/>
              </w:rPr>
            </w:pPr>
          </w:p>
        </w:tc>
      </w:tr>
      <w:tr w:rsidR="00F6773C" w:rsidTr="002664D0">
        <w:trPr>
          <w:trHeight w:val="340"/>
        </w:trPr>
        <w:tc>
          <w:tcPr>
            <w:tcW w:w="6062" w:type="dxa"/>
            <w:vAlign w:val="center"/>
          </w:tcPr>
          <w:p w:rsidR="00F6773C" w:rsidRDefault="00F6773C" w:rsidP="002664D0">
            <w:pPr>
              <w:ind w:right="-568"/>
              <w:rPr>
                <w:rFonts w:ascii="Century Gothic" w:hAnsi="Century Gothic"/>
              </w:rPr>
            </w:pPr>
          </w:p>
        </w:tc>
        <w:tc>
          <w:tcPr>
            <w:tcW w:w="3118" w:type="dxa"/>
            <w:vAlign w:val="center"/>
          </w:tcPr>
          <w:p w:rsidR="00F6773C" w:rsidRDefault="00F6773C" w:rsidP="002664D0">
            <w:pPr>
              <w:ind w:right="-568"/>
              <w:rPr>
                <w:rFonts w:ascii="Century Gothic" w:hAnsi="Century Gothic"/>
              </w:rPr>
            </w:pPr>
          </w:p>
        </w:tc>
      </w:tr>
      <w:tr w:rsidR="00F6773C" w:rsidTr="002664D0">
        <w:trPr>
          <w:trHeight w:val="340"/>
        </w:trPr>
        <w:tc>
          <w:tcPr>
            <w:tcW w:w="6062" w:type="dxa"/>
            <w:vAlign w:val="center"/>
          </w:tcPr>
          <w:p w:rsidR="00F6773C" w:rsidRDefault="00F6773C" w:rsidP="002664D0">
            <w:pPr>
              <w:ind w:right="-568"/>
              <w:rPr>
                <w:rFonts w:ascii="Century Gothic" w:hAnsi="Century Gothic"/>
              </w:rPr>
            </w:pPr>
          </w:p>
        </w:tc>
        <w:tc>
          <w:tcPr>
            <w:tcW w:w="3118" w:type="dxa"/>
            <w:vAlign w:val="center"/>
          </w:tcPr>
          <w:p w:rsidR="00F6773C" w:rsidRDefault="00F6773C" w:rsidP="002664D0">
            <w:pPr>
              <w:ind w:right="-568"/>
              <w:rPr>
                <w:rFonts w:ascii="Century Gothic" w:hAnsi="Century Gothic"/>
              </w:rPr>
            </w:pPr>
          </w:p>
        </w:tc>
      </w:tr>
      <w:tr w:rsidR="00F6773C" w:rsidTr="002664D0">
        <w:trPr>
          <w:trHeight w:val="340"/>
        </w:trPr>
        <w:tc>
          <w:tcPr>
            <w:tcW w:w="6062" w:type="dxa"/>
            <w:vAlign w:val="center"/>
          </w:tcPr>
          <w:p w:rsidR="00F6773C" w:rsidRDefault="00F6773C" w:rsidP="002664D0">
            <w:pPr>
              <w:ind w:right="-568"/>
              <w:rPr>
                <w:rFonts w:ascii="Century Gothic" w:hAnsi="Century Gothic"/>
              </w:rPr>
            </w:pPr>
          </w:p>
        </w:tc>
        <w:tc>
          <w:tcPr>
            <w:tcW w:w="3118" w:type="dxa"/>
            <w:vAlign w:val="center"/>
          </w:tcPr>
          <w:p w:rsidR="00F6773C" w:rsidRDefault="00F6773C" w:rsidP="002664D0">
            <w:pPr>
              <w:ind w:right="-568"/>
              <w:rPr>
                <w:rFonts w:ascii="Century Gothic" w:hAnsi="Century Gothic"/>
              </w:rPr>
            </w:pPr>
          </w:p>
        </w:tc>
      </w:tr>
      <w:tr w:rsidR="00F6773C" w:rsidTr="002664D0">
        <w:trPr>
          <w:trHeight w:val="340"/>
        </w:trPr>
        <w:tc>
          <w:tcPr>
            <w:tcW w:w="6062" w:type="dxa"/>
            <w:vAlign w:val="center"/>
          </w:tcPr>
          <w:p w:rsidR="00F6773C" w:rsidRDefault="00F6773C" w:rsidP="002664D0">
            <w:pPr>
              <w:ind w:right="-568"/>
              <w:rPr>
                <w:rFonts w:ascii="Century Gothic" w:hAnsi="Century Gothic"/>
              </w:rPr>
            </w:pPr>
          </w:p>
        </w:tc>
        <w:tc>
          <w:tcPr>
            <w:tcW w:w="3118" w:type="dxa"/>
            <w:vAlign w:val="center"/>
          </w:tcPr>
          <w:p w:rsidR="00F6773C" w:rsidRDefault="00F6773C" w:rsidP="002664D0">
            <w:pPr>
              <w:ind w:right="-568"/>
              <w:rPr>
                <w:rFonts w:ascii="Century Gothic" w:hAnsi="Century Gothic"/>
              </w:rPr>
            </w:pPr>
          </w:p>
        </w:tc>
      </w:tr>
      <w:tr w:rsidR="00F6773C" w:rsidTr="002664D0">
        <w:trPr>
          <w:trHeight w:val="340"/>
        </w:trPr>
        <w:tc>
          <w:tcPr>
            <w:tcW w:w="6062" w:type="dxa"/>
            <w:vAlign w:val="center"/>
          </w:tcPr>
          <w:p w:rsidR="00F6773C" w:rsidRDefault="00F6773C" w:rsidP="002664D0">
            <w:pPr>
              <w:ind w:right="-568"/>
              <w:rPr>
                <w:rFonts w:ascii="Century Gothic" w:hAnsi="Century Gothic"/>
              </w:rPr>
            </w:pPr>
          </w:p>
        </w:tc>
        <w:tc>
          <w:tcPr>
            <w:tcW w:w="3118" w:type="dxa"/>
            <w:vAlign w:val="center"/>
          </w:tcPr>
          <w:p w:rsidR="00F6773C" w:rsidRDefault="00F6773C" w:rsidP="002664D0">
            <w:pPr>
              <w:ind w:right="-568"/>
              <w:rPr>
                <w:rFonts w:ascii="Century Gothic" w:hAnsi="Century Gothic"/>
              </w:rPr>
            </w:pPr>
          </w:p>
        </w:tc>
      </w:tr>
      <w:tr w:rsidR="00F6773C" w:rsidTr="002664D0">
        <w:trPr>
          <w:trHeight w:val="340"/>
        </w:trPr>
        <w:tc>
          <w:tcPr>
            <w:tcW w:w="6062" w:type="dxa"/>
            <w:vAlign w:val="center"/>
          </w:tcPr>
          <w:p w:rsidR="00F6773C" w:rsidRDefault="00F6773C" w:rsidP="002664D0">
            <w:pPr>
              <w:ind w:right="-568"/>
              <w:rPr>
                <w:rFonts w:ascii="Century Gothic" w:hAnsi="Century Gothic"/>
              </w:rPr>
            </w:pPr>
          </w:p>
        </w:tc>
        <w:tc>
          <w:tcPr>
            <w:tcW w:w="3118" w:type="dxa"/>
            <w:vAlign w:val="center"/>
          </w:tcPr>
          <w:p w:rsidR="00F6773C" w:rsidRDefault="00F6773C" w:rsidP="002664D0">
            <w:pPr>
              <w:ind w:right="-568"/>
              <w:rPr>
                <w:rFonts w:ascii="Century Gothic" w:hAnsi="Century Gothic"/>
              </w:rPr>
            </w:pPr>
          </w:p>
        </w:tc>
      </w:tr>
      <w:tr w:rsidR="002664D0" w:rsidTr="002664D0">
        <w:trPr>
          <w:trHeight w:val="340"/>
        </w:trPr>
        <w:tc>
          <w:tcPr>
            <w:tcW w:w="6062" w:type="dxa"/>
            <w:vAlign w:val="center"/>
          </w:tcPr>
          <w:p w:rsidR="002664D0" w:rsidRDefault="002664D0" w:rsidP="002664D0">
            <w:pPr>
              <w:ind w:right="-568"/>
              <w:rPr>
                <w:rFonts w:ascii="Century Gothic" w:hAnsi="Century Gothic"/>
              </w:rPr>
            </w:pPr>
          </w:p>
        </w:tc>
        <w:tc>
          <w:tcPr>
            <w:tcW w:w="3118" w:type="dxa"/>
            <w:vAlign w:val="center"/>
          </w:tcPr>
          <w:p w:rsidR="002664D0" w:rsidRDefault="002664D0" w:rsidP="002664D0">
            <w:pPr>
              <w:ind w:right="-568"/>
              <w:rPr>
                <w:rFonts w:ascii="Century Gothic" w:hAnsi="Century Gothic"/>
              </w:rPr>
            </w:pPr>
          </w:p>
        </w:tc>
      </w:tr>
      <w:tr w:rsidR="002664D0" w:rsidTr="002664D0">
        <w:trPr>
          <w:trHeight w:val="340"/>
        </w:trPr>
        <w:tc>
          <w:tcPr>
            <w:tcW w:w="6062" w:type="dxa"/>
            <w:vAlign w:val="center"/>
          </w:tcPr>
          <w:p w:rsidR="002664D0" w:rsidRPr="00A94F16" w:rsidRDefault="00A94F16" w:rsidP="002664D0">
            <w:pPr>
              <w:ind w:right="-568"/>
              <w:rPr>
                <w:rFonts w:ascii="Century Gothic" w:hAnsi="Century Gothic"/>
                <w:b/>
              </w:rPr>
            </w:pPr>
            <w:r w:rsidRPr="00A94F16">
              <w:rPr>
                <w:rFonts w:ascii="Century Gothic" w:hAnsi="Century Gothic"/>
                <w:b/>
              </w:rPr>
              <w:t>TOTAL</w:t>
            </w:r>
          </w:p>
        </w:tc>
        <w:tc>
          <w:tcPr>
            <w:tcW w:w="3118" w:type="dxa"/>
            <w:vAlign w:val="center"/>
          </w:tcPr>
          <w:p w:rsidR="002664D0" w:rsidRDefault="002664D0" w:rsidP="002664D0">
            <w:pPr>
              <w:ind w:right="-568"/>
              <w:rPr>
                <w:rFonts w:ascii="Century Gothic" w:hAnsi="Century Gothic"/>
              </w:rPr>
            </w:pPr>
          </w:p>
        </w:tc>
      </w:tr>
    </w:tbl>
    <w:p w:rsidR="00F6773C" w:rsidRDefault="00F6773C" w:rsidP="002664D0">
      <w:pPr>
        <w:ind w:right="-568"/>
        <w:rPr>
          <w:rFonts w:ascii="Century Gothic" w:hAnsi="Century Gothic"/>
        </w:rPr>
      </w:pPr>
    </w:p>
    <w:p w:rsidR="00F6773C" w:rsidRDefault="00F6773C" w:rsidP="002664D0">
      <w:pPr>
        <w:spacing w:line="360" w:lineRule="auto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 referida tabela tem a função de auxiliar o escritório jurídico na tentativa de otimizar a possibilidade de deferiment</w:t>
      </w:r>
      <w:r w:rsidR="002664D0">
        <w:rPr>
          <w:rFonts w:ascii="Century Gothic" w:hAnsi="Century Gothic"/>
        </w:rPr>
        <w:t xml:space="preserve">o do pedido de justiça gratuita, pagamento ao final do processo, ou parcelamento das custas iniciais </w:t>
      </w:r>
      <w:r>
        <w:rPr>
          <w:rFonts w:ascii="Century Gothic" w:hAnsi="Century Gothic"/>
        </w:rPr>
        <w:t xml:space="preserve">(Art. </w:t>
      </w:r>
      <w:r w:rsidR="002664D0">
        <w:rPr>
          <w:rFonts w:ascii="Century Gothic" w:hAnsi="Century Gothic"/>
        </w:rPr>
        <w:t>5º, inc. LXXIV da CF, Art. 98, caput, § 6º do CPC).</w:t>
      </w:r>
    </w:p>
    <w:p w:rsidR="00F6773C" w:rsidRDefault="002664D0" w:rsidP="002664D0">
      <w:pPr>
        <w:spacing w:line="360" w:lineRule="auto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Vale ressaltar, que caberá ao Magistrado a decisão de deferimento do pedido de justiça gratuita.</w:t>
      </w:r>
    </w:p>
    <w:p w:rsidR="002664D0" w:rsidRDefault="002664D0" w:rsidP="002664D0">
      <w:pPr>
        <w:spacing w:line="360" w:lineRule="auto"/>
        <w:ind w:right="-1"/>
        <w:jc w:val="both"/>
        <w:rPr>
          <w:rFonts w:ascii="Century Gothic" w:hAnsi="Century Gothic"/>
        </w:rPr>
      </w:pPr>
    </w:p>
    <w:p w:rsidR="002664D0" w:rsidRPr="002664D0" w:rsidRDefault="002664D0" w:rsidP="002664D0">
      <w:pPr>
        <w:spacing w:after="0" w:line="240" w:lineRule="auto"/>
        <w:ind w:right="-1"/>
        <w:jc w:val="center"/>
        <w:rPr>
          <w:rFonts w:ascii="Century Gothic" w:hAnsi="Century Gothic"/>
          <w:b/>
        </w:rPr>
      </w:pPr>
      <w:r w:rsidRPr="002664D0">
        <w:rPr>
          <w:rFonts w:ascii="Century Gothic" w:hAnsi="Century Gothic"/>
          <w:b/>
        </w:rPr>
        <w:t>______________________________________</w:t>
      </w:r>
    </w:p>
    <w:p w:rsidR="002664D0" w:rsidRPr="002664D0" w:rsidRDefault="002664D0" w:rsidP="002664D0">
      <w:pPr>
        <w:spacing w:after="0" w:line="240" w:lineRule="auto"/>
        <w:ind w:right="-1"/>
        <w:jc w:val="center"/>
        <w:rPr>
          <w:rFonts w:ascii="Century Gothic" w:hAnsi="Century Gothic"/>
          <w:b/>
        </w:rPr>
      </w:pPr>
      <w:r w:rsidRPr="002664D0">
        <w:rPr>
          <w:rFonts w:ascii="Century Gothic" w:hAnsi="Century Gothic"/>
          <w:b/>
        </w:rPr>
        <w:t>SINDICALIZADO</w:t>
      </w:r>
    </w:p>
    <w:sectPr w:rsidR="002664D0" w:rsidRPr="002664D0" w:rsidSect="002664D0">
      <w:headerReference w:type="default" r:id="rId6"/>
      <w:pgSz w:w="11906" w:h="16838"/>
      <w:pgMar w:top="1417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1AE" w:rsidRDefault="002211AE" w:rsidP="001B1BB5">
      <w:pPr>
        <w:spacing w:after="0" w:line="240" w:lineRule="auto"/>
      </w:pPr>
      <w:r>
        <w:separator/>
      </w:r>
    </w:p>
  </w:endnote>
  <w:endnote w:type="continuationSeparator" w:id="0">
    <w:p w:rsidR="002211AE" w:rsidRDefault="002211AE" w:rsidP="001B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1AE" w:rsidRDefault="002211AE" w:rsidP="001B1BB5">
      <w:pPr>
        <w:spacing w:after="0" w:line="240" w:lineRule="auto"/>
      </w:pPr>
      <w:r>
        <w:separator/>
      </w:r>
    </w:p>
  </w:footnote>
  <w:footnote w:type="continuationSeparator" w:id="0">
    <w:p w:rsidR="002211AE" w:rsidRDefault="002211AE" w:rsidP="001B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8"/>
      <w:gridCol w:w="222"/>
    </w:tblGrid>
    <w:tr w:rsidR="001B1BB5" w:rsidRPr="00FB3156" w:rsidTr="000141E3">
      <w:tc>
        <w:tcPr>
          <w:tcW w:w="4111" w:type="dxa"/>
        </w:tcPr>
        <w:tbl>
          <w:tblPr>
            <w:tblStyle w:val="Tabelacomgrade"/>
            <w:tblW w:w="953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111"/>
            <w:gridCol w:w="5421"/>
          </w:tblGrid>
          <w:tr w:rsidR="00A94F16" w:rsidRPr="00FB3156" w:rsidTr="00A94F16">
            <w:tc>
              <w:tcPr>
                <w:tcW w:w="4111" w:type="dxa"/>
              </w:tcPr>
              <w:p w:rsidR="00A94F16" w:rsidRDefault="00A94F16" w:rsidP="001800A8">
                <w:pPr>
                  <w:pStyle w:val="Cabealho"/>
                </w:pPr>
                <w:r>
                  <w:t xml:space="preserve">          </w:t>
                </w:r>
                <w:r>
                  <w:rPr>
                    <w:noProof/>
                    <w:lang w:eastAsia="pt-BR"/>
                  </w:rPr>
                  <w:drawing>
                    <wp:inline distT="0" distB="0" distL="0" distR="0" wp14:anchorId="206E24FB" wp14:editId="3C8D627D">
                      <wp:extent cx="1819275" cy="590200"/>
                      <wp:effectExtent l="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LogotipoMorais&amp;Tenorio_curvas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35574" cy="59548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21" w:type="dxa"/>
              </w:tcPr>
              <w:p w:rsidR="00A94F16" w:rsidRPr="00FB3156" w:rsidRDefault="00A94F16" w:rsidP="001800A8">
                <w:pPr>
                  <w:pStyle w:val="Cabealho"/>
                  <w:jc w:val="right"/>
                  <w:rPr>
                    <w:rFonts w:ascii="Trajan Pro" w:hAnsi="Trajan Pro"/>
                    <w:color w:val="595959" w:themeColor="text1" w:themeTint="A6"/>
                    <w:sz w:val="20"/>
                  </w:rPr>
                </w:pPr>
                <w:r w:rsidRPr="00FB3156">
                  <w:rPr>
                    <w:rFonts w:ascii="Trajan Pro" w:hAnsi="Trajan Pro"/>
                    <w:color w:val="595959" w:themeColor="text1" w:themeTint="A6"/>
                    <w:sz w:val="20"/>
                  </w:rPr>
                  <w:t xml:space="preserve">Rua </w:t>
                </w:r>
                <w:r>
                  <w:rPr>
                    <w:rFonts w:ascii="Trajan Pro" w:hAnsi="Trajan Pro"/>
                    <w:color w:val="595959" w:themeColor="text1" w:themeTint="A6"/>
                    <w:sz w:val="20"/>
                  </w:rPr>
                  <w:t xml:space="preserve">Epaminondas </w:t>
                </w:r>
                <w:proofErr w:type="spellStart"/>
                <w:r>
                  <w:rPr>
                    <w:rFonts w:ascii="Trajan Pro" w:hAnsi="Trajan Pro"/>
                    <w:color w:val="595959" w:themeColor="text1" w:themeTint="A6"/>
                    <w:sz w:val="20"/>
                  </w:rPr>
                  <w:t>Gracindo</w:t>
                </w:r>
                <w:proofErr w:type="spellEnd"/>
                <w:r>
                  <w:rPr>
                    <w:rFonts w:ascii="Trajan Pro" w:hAnsi="Trajan Pro"/>
                    <w:color w:val="595959" w:themeColor="text1" w:themeTint="A6"/>
                    <w:sz w:val="20"/>
                  </w:rPr>
                  <w:t>, nº 22</w:t>
                </w:r>
                <w:r w:rsidRPr="00FB3156">
                  <w:rPr>
                    <w:rFonts w:ascii="Trajan Pro" w:hAnsi="Trajan Pro"/>
                    <w:color w:val="595959" w:themeColor="text1" w:themeTint="A6"/>
                    <w:sz w:val="20"/>
                  </w:rPr>
                  <w:t xml:space="preserve"> - </w:t>
                </w:r>
                <w:r>
                  <w:rPr>
                    <w:rFonts w:ascii="Trajan Pro" w:hAnsi="Trajan Pro"/>
                    <w:color w:val="595959" w:themeColor="text1" w:themeTint="A6"/>
                    <w:sz w:val="20"/>
                  </w:rPr>
                  <w:t>Pajuçara</w:t>
                </w:r>
              </w:p>
              <w:p w:rsidR="00A94F16" w:rsidRPr="00FB3156" w:rsidRDefault="00A94F16" w:rsidP="001800A8">
                <w:pPr>
                  <w:pStyle w:val="Cabealho"/>
                  <w:jc w:val="right"/>
                  <w:rPr>
                    <w:rFonts w:ascii="Trajan Pro" w:hAnsi="Trajan Pro"/>
                    <w:color w:val="595959" w:themeColor="text1" w:themeTint="A6"/>
                    <w:sz w:val="20"/>
                  </w:rPr>
                </w:pPr>
                <w:r w:rsidRPr="00FB3156">
                  <w:rPr>
                    <w:rFonts w:ascii="Trajan Pro" w:hAnsi="Trajan Pro"/>
                    <w:color w:val="595959" w:themeColor="text1" w:themeTint="A6"/>
                    <w:sz w:val="20"/>
                  </w:rPr>
                  <w:t>Maceió - AL | Fone: 82 3</w:t>
                </w:r>
                <w:r>
                  <w:rPr>
                    <w:rFonts w:ascii="Trajan Pro" w:hAnsi="Trajan Pro"/>
                    <w:color w:val="595959" w:themeColor="text1" w:themeTint="A6"/>
                    <w:sz w:val="20"/>
                  </w:rPr>
                  <w:t>023</w:t>
                </w:r>
                <w:r w:rsidRPr="00FB3156">
                  <w:rPr>
                    <w:rFonts w:ascii="Trajan Pro" w:hAnsi="Trajan Pro"/>
                    <w:color w:val="595959" w:themeColor="text1" w:themeTint="A6"/>
                    <w:sz w:val="20"/>
                  </w:rPr>
                  <w:t>.</w:t>
                </w:r>
                <w:r>
                  <w:rPr>
                    <w:rFonts w:ascii="Trajan Pro" w:hAnsi="Trajan Pro"/>
                    <w:color w:val="595959" w:themeColor="text1" w:themeTint="A6"/>
                    <w:sz w:val="20"/>
                  </w:rPr>
                  <w:t>7208</w:t>
                </w:r>
                <w:r w:rsidRPr="00FB3156">
                  <w:rPr>
                    <w:rFonts w:ascii="Trajan Pro" w:hAnsi="Trajan Pro"/>
                    <w:color w:val="595959" w:themeColor="text1" w:themeTint="A6"/>
                    <w:sz w:val="20"/>
                  </w:rPr>
                  <w:t xml:space="preserve"> </w:t>
                </w:r>
              </w:p>
              <w:p w:rsidR="00A94F16" w:rsidRPr="00FB3156" w:rsidRDefault="00A94F16" w:rsidP="001800A8">
                <w:pPr>
                  <w:pStyle w:val="Cabealho"/>
                  <w:jc w:val="right"/>
                  <w:rPr>
                    <w:sz w:val="20"/>
                  </w:rPr>
                </w:pPr>
                <w:r w:rsidRPr="00FB3156">
                  <w:rPr>
                    <w:rFonts w:ascii="Trajan Pro" w:hAnsi="Trajan Pro"/>
                    <w:color w:val="595959" w:themeColor="text1" w:themeTint="A6"/>
                    <w:sz w:val="20"/>
                  </w:rPr>
                  <w:t>www.m</w:t>
                </w:r>
                <w:r>
                  <w:rPr>
                    <w:rFonts w:ascii="Trajan Pro" w:hAnsi="Trajan Pro"/>
                    <w:color w:val="595959" w:themeColor="text1" w:themeTint="A6"/>
                    <w:sz w:val="20"/>
                  </w:rPr>
                  <w:t>mt.adv.br</w:t>
                </w:r>
              </w:p>
            </w:tc>
          </w:tr>
        </w:tbl>
        <w:p w:rsidR="001B1BB5" w:rsidRDefault="001B1BB5" w:rsidP="000141E3">
          <w:pPr>
            <w:pStyle w:val="Cabealho"/>
          </w:pPr>
        </w:p>
      </w:tc>
      <w:tc>
        <w:tcPr>
          <w:tcW w:w="5812" w:type="dxa"/>
        </w:tcPr>
        <w:p w:rsidR="001B1BB5" w:rsidRPr="00FB3156" w:rsidRDefault="001B1BB5" w:rsidP="000141E3">
          <w:pPr>
            <w:pStyle w:val="Cabealho"/>
            <w:jc w:val="right"/>
            <w:rPr>
              <w:sz w:val="20"/>
            </w:rPr>
          </w:pPr>
        </w:p>
      </w:tc>
    </w:tr>
  </w:tbl>
  <w:p w:rsidR="001B1BB5" w:rsidRDefault="001B1B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0F8568E" wp14:editId="721D3803">
          <wp:simplePos x="0" y="0"/>
          <wp:positionH relativeFrom="column">
            <wp:posOffset>-2175510</wp:posOffset>
          </wp:positionH>
          <wp:positionV relativeFrom="paragraph">
            <wp:posOffset>4011295</wp:posOffset>
          </wp:positionV>
          <wp:extent cx="5209394" cy="55532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aguam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9394" cy="555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B5"/>
    <w:rsid w:val="001B1BB5"/>
    <w:rsid w:val="001C05DA"/>
    <w:rsid w:val="002211AE"/>
    <w:rsid w:val="002664D0"/>
    <w:rsid w:val="00453CE4"/>
    <w:rsid w:val="005A7607"/>
    <w:rsid w:val="006878B1"/>
    <w:rsid w:val="006F6DD4"/>
    <w:rsid w:val="009E4DA4"/>
    <w:rsid w:val="00A94F16"/>
    <w:rsid w:val="00AA6275"/>
    <w:rsid w:val="00CA363A"/>
    <w:rsid w:val="00E91901"/>
    <w:rsid w:val="00F6773C"/>
    <w:rsid w:val="00FB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81040-25B4-4FF4-9AB0-1DBC3028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B1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B1BB5"/>
  </w:style>
  <w:style w:type="paragraph" w:styleId="Rodap">
    <w:name w:val="footer"/>
    <w:basedOn w:val="Normal"/>
    <w:link w:val="RodapChar"/>
    <w:uiPriority w:val="99"/>
    <w:unhideWhenUsed/>
    <w:rsid w:val="001B1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1BB5"/>
  </w:style>
  <w:style w:type="table" w:styleId="Tabelacomgrade">
    <w:name w:val="Table Grid"/>
    <w:basedOn w:val="Tabelanormal"/>
    <w:uiPriority w:val="39"/>
    <w:rsid w:val="001B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Andrade</dc:creator>
  <cp:lastModifiedBy>Imprensa2</cp:lastModifiedBy>
  <cp:revision>2</cp:revision>
  <dcterms:created xsi:type="dcterms:W3CDTF">2018-09-24T16:00:00Z</dcterms:created>
  <dcterms:modified xsi:type="dcterms:W3CDTF">2018-09-24T16:00:00Z</dcterms:modified>
</cp:coreProperties>
</file>